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5C3C5D5B" w14:paraId="063116FB" wp14:textId="77C76C02">
      <w:pPr>
        <w:spacing w:after="160" w:afterAutospacing="on" w:line="240" w:lineRule="auto"/>
        <w:jc w:val="both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3C5D5B" w:rsidR="0636CFFB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CA"/>
        </w:rPr>
        <w:t xml:space="preserve">Guidelines for Early </w:t>
      </w:r>
      <w:r w:rsidRPr="5C3C5D5B" w:rsidR="16FB2F22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CA"/>
        </w:rPr>
        <w:t>Demonstration Seed</w:t>
      </w:r>
      <w:r w:rsidRPr="5C3C5D5B" w:rsidR="0636CFFB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CA"/>
        </w:rPr>
        <w:t xml:space="preserve"> Fund Program</w:t>
      </w:r>
    </w:p>
    <w:p xmlns:wp14="http://schemas.microsoft.com/office/word/2010/wordml" w:rsidP="5C3C5D5B" w14:paraId="366C354A" wp14:textId="63758B6A">
      <w:pPr>
        <w:pStyle w:val="Normal"/>
        <w:spacing w:after="160" w:afterAutospacing="on" w:line="240" w:lineRule="auto"/>
        <w:jc w:val="both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</w:pPr>
      <w:r>
        <w:br/>
      </w:r>
      <w:r w:rsidRPr="5C3C5D5B" w:rsidR="0636CFFB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 xml:space="preserve">This funding opportunity is targeted to </w:t>
      </w:r>
      <w:proofErr w:type="spellStart"/>
      <w:r w:rsidRPr="5C3C5D5B" w:rsidR="0636CFFB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>astroparticle</w:t>
      </w:r>
      <w:proofErr w:type="spellEnd"/>
      <w:r w:rsidRPr="5C3C5D5B" w:rsidR="0636CFFB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 xml:space="preserve"> physics researchers working in Canada, who are interested in advancing a technology solution</w:t>
      </w:r>
      <w:r w:rsidRPr="5C3C5D5B" w:rsidR="616DD47C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 xml:space="preserve"> to a practical proble</w:t>
      </w:r>
      <w:r w:rsidRPr="5C3C5D5B" w:rsidR="616DD47C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>m</w:t>
      </w:r>
      <w:r w:rsidRPr="5C3C5D5B">
        <w:rPr>
          <w:rStyle w:val="FootnoteReference"/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footnoteReference w:id="11580"/>
      </w:r>
      <w:r w:rsidRPr="5C3C5D5B" w:rsidR="5C3C5D5B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>.</w:t>
      </w:r>
      <w:r w:rsidRPr="5C3C5D5B" w:rsidR="3C47779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 xml:space="preserve"> The technology mobilization may be </w:t>
      </w:r>
      <w:r w:rsidRPr="5C3C5D5B" w:rsidR="3C47779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>accomplished</w:t>
      </w:r>
      <w:r w:rsidRPr="5C3C5D5B" w:rsidR="3C47779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 xml:space="preserve"> via specifically directed work across two </w:t>
      </w:r>
      <w:r w:rsidRPr="5C3C5D5B" w:rsidR="4BE786C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>T</w:t>
      </w:r>
      <w:r w:rsidRPr="5C3C5D5B" w:rsidR="3C47779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>iers (A and B) of the program.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4215"/>
        <w:gridCol w:w="4950"/>
      </w:tblGrid>
      <w:tr w:rsidR="5C3C5D5B" w:rsidTr="5C3C5D5B" w14:paraId="29D9F7DD">
        <w:trPr>
          <w:trHeight w:val="300"/>
        </w:trPr>
        <w:tc>
          <w:tcPr>
            <w:tcW w:w="4215" w:type="dxa"/>
            <w:shd w:val="clear" w:color="auto" w:fill="D9E2F3" w:themeFill="accent1" w:themeFillTint="33"/>
            <w:tcMar>
              <w:left w:w="105" w:type="dxa"/>
              <w:right w:w="105" w:type="dxa"/>
            </w:tcMar>
            <w:vAlign w:val="top"/>
          </w:tcPr>
          <w:p w:rsidR="5C3C5D5B" w:rsidP="5C3C5D5B" w:rsidRDefault="5C3C5D5B" w14:paraId="4F0DC3BA" w14:textId="58240FCD">
            <w:pPr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C3C5D5B" w:rsidR="5C3C5D5B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APPLICATION TYPE</w:t>
            </w:r>
          </w:p>
        </w:tc>
        <w:tc>
          <w:tcPr>
            <w:tcW w:w="4950" w:type="dxa"/>
            <w:shd w:val="clear" w:color="auto" w:fill="D9E2F3" w:themeFill="accent1" w:themeFillTint="33"/>
            <w:tcMar>
              <w:left w:w="105" w:type="dxa"/>
              <w:right w:w="105" w:type="dxa"/>
            </w:tcMar>
            <w:vAlign w:val="top"/>
          </w:tcPr>
          <w:p w:rsidR="1B974D1E" w:rsidP="5C3C5D5B" w:rsidRDefault="1B974D1E" w14:paraId="68432DFC" w14:textId="53C1D19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C3C5D5B" w:rsidR="1B974D1E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Purpose</w:t>
            </w:r>
          </w:p>
        </w:tc>
      </w:tr>
      <w:tr w:rsidR="5C3C5D5B" w:rsidTr="5C3C5D5B" w14:paraId="6768AAD5">
        <w:trPr>
          <w:trHeight w:val="300"/>
        </w:trPr>
        <w:tc>
          <w:tcPr>
            <w:tcW w:w="9165" w:type="dxa"/>
            <w:gridSpan w:val="2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top"/>
          </w:tcPr>
          <w:p w:rsidR="5C3C5D5B" w:rsidP="5C3C5D5B" w:rsidRDefault="5C3C5D5B" w14:paraId="2F0C3295" w14:textId="07CACAAD">
            <w:pPr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C3C5D5B" w:rsidR="5C3C5D5B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TIER A: Technology Demonstrations</w:t>
            </w:r>
          </w:p>
        </w:tc>
      </w:tr>
      <w:tr w:rsidR="5C3C5D5B" w:rsidTr="5C3C5D5B" w14:paraId="5A5EEC4B">
        <w:trPr>
          <w:trHeight w:val="300"/>
        </w:trPr>
        <w:tc>
          <w:tcPr>
            <w:tcW w:w="4215" w:type="dxa"/>
            <w:tcMar>
              <w:left w:w="105" w:type="dxa"/>
              <w:right w:w="105" w:type="dxa"/>
            </w:tcMar>
            <w:vAlign w:val="center"/>
          </w:tcPr>
          <w:p w:rsidR="5C3C5D5B" w:rsidP="5C3C5D5B" w:rsidRDefault="5C3C5D5B" w14:paraId="1E94D377" w14:textId="0A5811DE">
            <w:pPr>
              <w:jc w:val="right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C3C5D5B" w:rsidR="5C3C5D5B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Proof of Concept</w:t>
            </w:r>
          </w:p>
        </w:tc>
        <w:tc>
          <w:tcPr>
            <w:tcW w:w="4950" w:type="dxa"/>
            <w:tcMar>
              <w:left w:w="105" w:type="dxa"/>
              <w:right w:w="105" w:type="dxa"/>
            </w:tcMar>
            <w:vAlign w:val="top"/>
          </w:tcPr>
          <w:p w:rsidR="23701F80" w:rsidP="5C3C5D5B" w:rsidRDefault="23701F80" w14:paraId="79A03E01" w14:textId="192FD5B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C3C5D5B" w:rsidR="23701F80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validate core principles of tech. operation</w:t>
            </w:r>
          </w:p>
        </w:tc>
      </w:tr>
      <w:tr w:rsidR="5C3C5D5B" w:rsidTr="5C3C5D5B" w14:paraId="545099D6">
        <w:trPr>
          <w:trHeight w:val="300"/>
        </w:trPr>
        <w:tc>
          <w:tcPr>
            <w:tcW w:w="4215" w:type="dxa"/>
            <w:tcMar>
              <w:left w:w="105" w:type="dxa"/>
              <w:right w:w="105" w:type="dxa"/>
            </w:tcMar>
            <w:vAlign w:val="center"/>
          </w:tcPr>
          <w:p w:rsidR="5C3C5D5B" w:rsidP="5C3C5D5B" w:rsidRDefault="5C3C5D5B" w14:paraId="25AAB656" w14:textId="4E6EE6B5">
            <w:pPr>
              <w:jc w:val="right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C3C5D5B" w:rsidR="5C3C5D5B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Early Demonstration</w:t>
            </w:r>
          </w:p>
        </w:tc>
        <w:tc>
          <w:tcPr>
            <w:tcW w:w="4950" w:type="dxa"/>
            <w:tcMar>
              <w:left w:w="105" w:type="dxa"/>
              <w:right w:w="105" w:type="dxa"/>
            </w:tcMar>
            <w:vAlign w:val="top"/>
          </w:tcPr>
          <w:p w:rsidR="74392901" w:rsidP="5C3C5D5B" w:rsidRDefault="74392901" w14:paraId="4FA0E58C" w14:textId="2A6FA87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C3C5D5B" w:rsidR="74392901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validate reproducible operation</w:t>
            </w:r>
          </w:p>
        </w:tc>
      </w:tr>
      <w:tr w:rsidR="5C3C5D5B" w:rsidTr="5C3C5D5B" w14:paraId="66D0E5D7">
        <w:trPr>
          <w:trHeight w:val="300"/>
        </w:trPr>
        <w:tc>
          <w:tcPr>
            <w:tcW w:w="4215" w:type="dxa"/>
            <w:tcMar>
              <w:left w:w="105" w:type="dxa"/>
              <w:right w:w="105" w:type="dxa"/>
            </w:tcMar>
            <w:vAlign w:val="center"/>
          </w:tcPr>
          <w:p w:rsidR="5C3C5D5B" w:rsidP="5C3C5D5B" w:rsidRDefault="5C3C5D5B" w14:paraId="2D1D7D5A" w14:textId="1CA547D7">
            <w:pPr>
              <w:jc w:val="right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C3C5D5B" w:rsidR="5C3C5D5B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Late Demonstration</w:t>
            </w:r>
          </w:p>
        </w:tc>
        <w:tc>
          <w:tcPr>
            <w:tcW w:w="4950" w:type="dxa"/>
            <w:tcMar>
              <w:left w:w="105" w:type="dxa"/>
              <w:right w:w="105" w:type="dxa"/>
            </w:tcMar>
            <w:vAlign w:val="top"/>
          </w:tcPr>
          <w:p w:rsidR="72FAB809" w:rsidP="5C3C5D5B" w:rsidRDefault="72FAB809" w14:paraId="1E8D21CB" w14:textId="47B4172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C3C5D5B" w:rsidR="72FAB809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validate operation in expected use case(s)</w:t>
            </w:r>
          </w:p>
        </w:tc>
      </w:tr>
      <w:tr w:rsidR="5C3C5D5B" w:rsidTr="5C3C5D5B" w14:paraId="61ED16EA">
        <w:trPr>
          <w:trHeight w:val="300"/>
        </w:trPr>
        <w:tc>
          <w:tcPr>
            <w:tcW w:w="9165" w:type="dxa"/>
            <w:gridSpan w:val="2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top"/>
          </w:tcPr>
          <w:p w:rsidR="5C3C5D5B" w:rsidP="5C3C5D5B" w:rsidRDefault="5C3C5D5B" w14:paraId="6E55024B" w14:textId="12319562">
            <w:pPr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C3C5D5B" w:rsidR="5C3C5D5B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TIER B: Tech Transfer Due-Diligence</w:t>
            </w:r>
          </w:p>
        </w:tc>
      </w:tr>
      <w:tr w:rsidR="5C3C5D5B" w:rsidTr="5C3C5D5B" w14:paraId="42AC346F">
        <w:trPr>
          <w:trHeight w:val="300"/>
        </w:trPr>
        <w:tc>
          <w:tcPr>
            <w:tcW w:w="4215" w:type="dxa"/>
            <w:tcMar>
              <w:left w:w="105" w:type="dxa"/>
              <w:right w:w="105" w:type="dxa"/>
            </w:tcMar>
            <w:vAlign w:val="center"/>
          </w:tcPr>
          <w:p w:rsidR="5C3C5D5B" w:rsidP="5C3C5D5B" w:rsidRDefault="5C3C5D5B" w14:paraId="706218AA" w14:textId="0ABC6C6B">
            <w:pPr>
              <w:jc w:val="right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C3C5D5B" w:rsidR="5C3C5D5B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Prior Art &amp;Tech. Feasibility</w:t>
            </w:r>
          </w:p>
        </w:tc>
        <w:tc>
          <w:tcPr>
            <w:tcW w:w="4950" w:type="dxa"/>
            <w:tcMar>
              <w:left w:w="105" w:type="dxa"/>
              <w:right w:w="105" w:type="dxa"/>
            </w:tcMar>
            <w:vAlign w:val="top"/>
          </w:tcPr>
          <w:p w:rsidR="3C7E2CF6" w:rsidP="5C3C5D5B" w:rsidRDefault="3C7E2CF6" w14:paraId="375D7668" w14:textId="01E28A9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C3C5D5B" w:rsidR="3C7E2CF6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due-diligence</w:t>
            </w:r>
            <w:r w:rsidRPr="5C3C5D5B" w:rsidR="3C7E2CF6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on intellectual property claims</w:t>
            </w:r>
          </w:p>
        </w:tc>
      </w:tr>
      <w:tr w:rsidR="5C3C5D5B" w:rsidTr="5C3C5D5B" w14:paraId="5167C921">
        <w:trPr>
          <w:trHeight w:val="300"/>
        </w:trPr>
        <w:tc>
          <w:tcPr>
            <w:tcW w:w="4215" w:type="dxa"/>
            <w:tcMar>
              <w:left w:w="105" w:type="dxa"/>
              <w:right w:w="105" w:type="dxa"/>
            </w:tcMar>
            <w:vAlign w:val="center"/>
          </w:tcPr>
          <w:p w:rsidR="5C3C5D5B" w:rsidP="5C3C5D5B" w:rsidRDefault="5C3C5D5B" w14:paraId="17607AE9" w14:textId="3731997E">
            <w:pPr>
              <w:jc w:val="right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C3C5D5B" w:rsidR="5C3C5D5B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Lean Model Canvas</w:t>
            </w:r>
          </w:p>
        </w:tc>
        <w:tc>
          <w:tcPr>
            <w:tcW w:w="4950" w:type="dxa"/>
            <w:tcMar>
              <w:left w:w="105" w:type="dxa"/>
              <w:right w:w="105" w:type="dxa"/>
            </w:tcMar>
            <w:vAlign w:val="top"/>
          </w:tcPr>
          <w:p w:rsidR="257E0388" w:rsidP="5C3C5D5B" w:rsidRDefault="257E0388" w14:paraId="164BCB7B" w14:textId="71A5D98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C3C5D5B" w:rsidR="257E0388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partial validation of go-to-market model</w:t>
            </w:r>
          </w:p>
        </w:tc>
      </w:tr>
      <w:tr w:rsidR="5C3C5D5B" w:rsidTr="5C3C5D5B" w14:paraId="4031B463">
        <w:trPr>
          <w:trHeight w:val="300"/>
        </w:trPr>
        <w:tc>
          <w:tcPr>
            <w:tcW w:w="4215" w:type="dxa"/>
            <w:tcMar>
              <w:left w:w="105" w:type="dxa"/>
              <w:right w:w="105" w:type="dxa"/>
            </w:tcMar>
            <w:vAlign w:val="center"/>
          </w:tcPr>
          <w:p w:rsidR="5C3C5D5B" w:rsidP="5C3C5D5B" w:rsidRDefault="5C3C5D5B" w14:paraId="097288B9" w14:textId="5167CEB3">
            <w:pPr>
              <w:jc w:val="right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C3C5D5B" w:rsidR="5C3C5D5B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Early Adopter Engagement</w:t>
            </w:r>
          </w:p>
        </w:tc>
        <w:tc>
          <w:tcPr>
            <w:tcW w:w="4950" w:type="dxa"/>
            <w:tcMar>
              <w:left w:w="105" w:type="dxa"/>
              <w:right w:w="105" w:type="dxa"/>
            </w:tcMar>
            <w:vAlign w:val="top"/>
          </w:tcPr>
          <w:p w:rsidR="62D70D1D" w:rsidP="5C3C5D5B" w:rsidRDefault="62D70D1D" w14:paraId="01B44886" w14:textId="236F8D1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C3C5D5B" w:rsidR="62D70D1D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engage end-users and entrepreneurs</w:t>
            </w:r>
          </w:p>
        </w:tc>
      </w:tr>
    </w:tbl>
    <w:p xmlns:wp14="http://schemas.microsoft.com/office/word/2010/wordml" w:rsidP="5C3C5D5B" wp14:textId="7125083E" w14:paraId="59290291">
      <w:pPr>
        <w:pStyle w:val="Normal"/>
        <w:spacing w:after="160" w:afterAutospacing="on" w:line="240" w:lineRule="auto"/>
        <w:jc w:val="both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</w:pPr>
      <w:r>
        <w:br/>
      </w:r>
      <w:r>
        <w:br/>
      </w:r>
      <w:r w:rsidRPr="5C3C5D5B" w:rsidR="35B13448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 xml:space="preserve">The technology in question must </w:t>
      </w:r>
      <w:r w:rsidRPr="5C3C5D5B" w:rsidR="167FF4A5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>either: a)</w:t>
      </w:r>
      <w:r w:rsidRPr="5C3C5D5B" w:rsidR="35B13448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 xml:space="preserve"> </w:t>
      </w:r>
      <w:r w:rsidRPr="5C3C5D5B" w:rsidR="021B61E4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>pertain</w:t>
      </w:r>
      <w:r w:rsidRPr="5C3C5D5B" w:rsidR="0636CFFB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 xml:space="preserve"> to</w:t>
      </w:r>
      <w:r w:rsidRPr="5C3C5D5B" w:rsidR="1E2CA56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 xml:space="preserve"> pursuit of </w:t>
      </w:r>
      <w:r w:rsidRPr="5C3C5D5B" w:rsidR="1E2CA56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>astroparticle</w:t>
      </w:r>
      <w:r w:rsidRPr="5C3C5D5B" w:rsidR="1E2CA56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 xml:space="preserve"> physics research</w:t>
      </w:r>
      <w:r w:rsidRPr="5C3C5D5B" w:rsidR="229E7D8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 xml:space="preserve"> (e.g., detection technology), or b) </w:t>
      </w:r>
      <w:r w:rsidRPr="5C3C5D5B" w:rsidR="3AB6F637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 xml:space="preserve">arise from the pursuit of </w:t>
      </w:r>
      <w:r w:rsidRPr="5C3C5D5B" w:rsidR="3AB6F637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>astroparticle</w:t>
      </w:r>
      <w:r w:rsidRPr="5C3C5D5B" w:rsidR="3AB6F637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 xml:space="preserve"> physics research (e.g., a novel </w:t>
      </w:r>
      <w:r w:rsidRPr="5C3C5D5B" w:rsidR="29214C95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 xml:space="preserve">signal </w:t>
      </w:r>
      <w:r w:rsidRPr="5C3C5D5B" w:rsidR="3AB6F637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>screening method).</w:t>
      </w:r>
      <w:r w:rsidRPr="5C3C5D5B" w:rsidR="0636CFFB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 xml:space="preserve"> The fund is available</w:t>
      </w:r>
      <w:r w:rsidRPr="5C3C5D5B" w:rsidR="1D6D857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 xml:space="preserve">, on a reimbursement-of-eligible-costs basis,</w:t>
      </w:r>
      <w:r w:rsidRPr="5C3C5D5B" w:rsidR="0636CFFB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 xml:space="preserve"> </w:t>
      </w:r>
      <w:r w:rsidRPr="5C3C5D5B" w:rsidR="0636CFFB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 xml:space="preserve">to any applicant who is</w:t>
      </w:r>
      <w:r w:rsidRPr="5C3C5D5B" w:rsidR="3E0A1178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 xml:space="preserve"> </w:t>
      </w:r>
      <w:r w:rsidRPr="5C3C5D5B" w:rsidR="0636CFFB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>an eligible grant holder in</w:t>
      </w:r>
      <w:r w:rsidRPr="5C3C5D5B" w:rsidR="49C83C04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 xml:space="preserve"> Canadian</w:t>
      </w:r>
      <w:r w:rsidRPr="5C3C5D5B" w:rsidR="0636CFFB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 xml:space="preserve"> </w:t>
      </w:r>
      <w:r w:rsidRPr="5C3C5D5B" w:rsidR="1AC588F6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 xml:space="preserve">academia or</w:t>
      </w:r>
      <w:r w:rsidRPr="5C3C5D5B" w:rsidR="7C9C7630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 xml:space="preserve"> is directly supervised by such an eligible person (awards must be administered under the grant-</w:t>
      </w:r>
      <w:r w:rsidRPr="5C3C5D5B" w:rsidR="2D3C558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>eligible</w:t>
      </w:r>
      <w:r w:rsidRPr="5C3C5D5B" w:rsidR="7C9C7630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 xml:space="preserve"> person’s institutional research account).</w:t>
      </w:r>
    </w:p>
    <w:p xmlns:wp14="http://schemas.microsoft.com/office/word/2010/wordml" w:rsidP="5C3C5D5B" w14:paraId="6FB5BC52" wp14:textId="4C97C63C">
      <w:pPr>
        <w:spacing w:after="160" w:afterAutospacing="on" w:line="240" w:lineRule="auto"/>
        <w:jc w:val="both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5C3C5D5B" w:rsidR="0636CFFB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CA"/>
        </w:rPr>
        <w:t>Applications will be scored on problem definition,</w:t>
      </w:r>
      <w:r w:rsidRPr="5C3C5D5B" w:rsidR="559AD2DE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CA"/>
        </w:rPr>
        <w:t xml:space="preserve"> proof-of-concept evidence</w:t>
      </w:r>
      <w:r w:rsidRPr="5C3C5D5B" w:rsidR="2834B24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CA"/>
        </w:rPr>
        <w:t xml:space="preserve"> </w:t>
      </w:r>
      <w:r w:rsidRPr="5C3C5D5B" w:rsidR="2834B24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CA"/>
        </w:rPr>
        <w:t>relative</w:t>
      </w:r>
      <w:r w:rsidRPr="5C3C5D5B" w:rsidR="2834B24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CA"/>
        </w:rPr>
        <w:t xml:space="preserve"> to the demonstration or due-diligence support request</w:t>
      </w:r>
      <w:r w:rsidRPr="5C3C5D5B" w:rsidR="559AD2DE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CA"/>
        </w:rPr>
        <w:t>,</w:t>
      </w:r>
      <w:r w:rsidRPr="5C3C5D5B" w:rsidR="0636CFFB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CA"/>
        </w:rPr>
        <w:t xml:space="preserve"> feasibility of work plan</w:t>
      </w:r>
      <w:r w:rsidRPr="5C3C5D5B" w:rsidR="53F72F5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CA"/>
        </w:rPr>
        <w:t>,</w:t>
      </w:r>
      <w:r w:rsidRPr="5C3C5D5B" w:rsidR="0636CFFB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CA"/>
        </w:rPr>
        <w:t xml:space="preserve"> and risk management strategy (with emphasis on innovation sustainability and </w:t>
      </w:r>
      <w:r w:rsidRPr="5C3C5D5B" w:rsidR="0636CFFB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CA"/>
        </w:rPr>
        <w:t>equitable</w:t>
      </w:r>
      <w:r w:rsidRPr="5C3C5D5B" w:rsidR="0636CFFB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CA"/>
        </w:rPr>
        <w:t xml:space="preserve"> outcomes for stakeholders)</w:t>
      </w:r>
      <w:r w:rsidRPr="5C3C5D5B" w:rsidR="478DAABC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CA"/>
        </w:rPr>
        <w:t>,</w:t>
      </w:r>
      <w:r w:rsidRPr="5C3C5D5B" w:rsidR="0636CFFB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CA"/>
        </w:rPr>
        <w:t xml:space="preserve"> along with</w:t>
      </w:r>
      <w:r w:rsidRPr="5C3C5D5B" w:rsidR="65B368C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CA"/>
        </w:rPr>
        <w:t xml:space="preserve"> overall</w:t>
      </w:r>
      <w:r w:rsidRPr="5C3C5D5B" w:rsidR="0636CFFB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CA"/>
        </w:rPr>
        <w:t xml:space="preserve"> alignment with the </w:t>
      </w:r>
      <w:r w:rsidRPr="5C3C5D5B" w:rsidR="0636CFFB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CA"/>
        </w:rPr>
        <w:t>objectives</w:t>
      </w:r>
      <w:r w:rsidRPr="5C3C5D5B" w:rsidR="0636CFFB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CA"/>
        </w:rPr>
        <w:t xml:space="preserve"> of the McDonald Institute.</w:t>
      </w:r>
      <w:r w:rsidRPr="5C3C5D5B" w:rsidR="0636CFFB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single"/>
          <w:lang w:val="en-CA"/>
        </w:rPr>
        <w:t xml:space="preserve"> The scoring matrix is available for review at the end of the application document.</w:t>
      </w:r>
    </w:p>
    <w:p xmlns:wp14="http://schemas.microsoft.com/office/word/2010/wordml" w:rsidP="5C3C5D5B" w14:paraId="5C07837A" wp14:textId="2DDE6134">
      <w:pPr>
        <w:spacing w:after="160" w:afterAutospacing="on" w:line="240" w:lineRule="auto"/>
        <w:jc w:val="both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</w:p>
    <w:p xmlns:wp14="http://schemas.microsoft.com/office/word/2010/wordml" w:rsidP="5C3C5D5B" w14:paraId="4BA9B5A3" wp14:textId="794CDD70">
      <w:pPr>
        <w:spacing w:after="160" w:line="259" w:lineRule="auto"/>
        <w:jc w:val="both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5C3C5D5B" w:rsidR="0636CFFB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CA"/>
        </w:rPr>
        <w:t xml:space="preserve">Successful applicants will receive an award letter committing the </w:t>
      </w:r>
      <w:r w:rsidRPr="5C3C5D5B" w:rsidR="0636CFFB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CA"/>
        </w:rPr>
        <w:t>Institue</w:t>
      </w:r>
      <w:r w:rsidRPr="5C3C5D5B" w:rsidR="0636CFFB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CA"/>
        </w:rPr>
        <w:t xml:space="preserve"> to reimbursement of up to</w:t>
      </w:r>
      <w:r w:rsidRPr="5C3C5D5B" w:rsidR="0D8BA428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CA"/>
        </w:rPr>
        <w:t xml:space="preserve"> a maximum amount</w:t>
      </w:r>
      <w:r w:rsidRPr="5C3C5D5B" w:rsidR="0636CFFB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CA"/>
        </w:rPr>
        <w:t xml:space="preserve"> of eligible direct costs incurred for the proposed project</w:t>
      </w:r>
      <w:r w:rsidRPr="5C3C5D5B" w:rsidR="3FE57F22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CA"/>
        </w:rPr>
        <w:t xml:space="preserve">. </w:t>
      </w:r>
      <w:r w:rsidRPr="5C3C5D5B" w:rsidR="0636CFFB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CA"/>
        </w:rPr>
        <w:t xml:space="preserve">Letters of award </w:t>
      </w:r>
      <w:r w:rsidRPr="5C3C5D5B" w:rsidR="0636CFFB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single"/>
          <w:lang w:val="en-CA"/>
        </w:rPr>
        <w:t>are valid for 12 months</w:t>
      </w:r>
      <w:r w:rsidRPr="5C3C5D5B" w:rsidR="53CD5AB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single"/>
          <w:lang w:val="en-CA"/>
        </w:rPr>
        <w:t xml:space="preserve"> from date of </w:t>
      </w:r>
      <w:r w:rsidRPr="5C3C5D5B" w:rsidR="53CD5AB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single"/>
          <w:lang w:val="en-CA"/>
        </w:rPr>
        <w:t>issuance</w:t>
      </w:r>
      <w:r w:rsidRPr="5C3C5D5B" w:rsidR="3022510E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single"/>
          <w:lang w:val="en-CA"/>
        </w:rPr>
        <w:t xml:space="preserve"> for Tier A </w:t>
      </w:r>
      <w:r w:rsidRPr="5C3C5D5B" w:rsidR="3022510E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single"/>
          <w:lang w:val="en-CA"/>
        </w:rPr>
        <w:t>awards</w:t>
      </w:r>
      <w:r w:rsidRPr="5C3C5D5B" w:rsidR="53CD5AB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single"/>
          <w:lang w:val="en-CA"/>
        </w:rPr>
        <w:t>,</w:t>
      </w:r>
      <w:r w:rsidRPr="5C3C5D5B" w:rsidR="0636CFFB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single"/>
          <w:lang w:val="en-CA"/>
        </w:rPr>
        <w:t xml:space="preserve"> but</w:t>
      </w:r>
      <w:r w:rsidRPr="5C3C5D5B" w:rsidR="0636CFFB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single"/>
          <w:lang w:val="en-CA"/>
        </w:rPr>
        <w:t xml:space="preserve"> may be </w:t>
      </w:r>
      <w:r w:rsidRPr="5C3C5D5B" w:rsidR="63801537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single"/>
          <w:lang w:val="en-CA"/>
        </w:rPr>
        <w:t>extend</w:t>
      </w:r>
      <w:r w:rsidRPr="5C3C5D5B" w:rsidR="0636CFFB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single"/>
          <w:lang w:val="en-CA"/>
        </w:rPr>
        <w:t xml:space="preserve">ed </w:t>
      </w:r>
      <w:r w:rsidRPr="5C3C5D5B" w:rsidR="2C1CFF66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single"/>
          <w:lang w:val="en-CA"/>
        </w:rPr>
        <w:t>by</w:t>
      </w:r>
      <w:r w:rsidRPr="5C3C5D5B" w:rsidR="7E629824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single"/>
          <w:lang w:val="en-CA"/>
        </w:rPr>
        <w:t>request</w:t>
      </w:r>
      <w:r w:rsidRPr="5C3C5D5B" w:rsidR="7E629824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single"/>
          <w:lang w:val="en-CA"/>
        </w:rPr>
        <w:t xml:space="preserve"> </w:t>
      </w:r>
      <w:r w:rsidRPr="5C3C5D5B" w:rsidR="0636CFFB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single"/>
          <w:lang w:val="en-CA"/>
        </w:rPr>
        <w:t xml:space="preserve">for an </w:t>
      </w:r>
      <w:r w:rsidRPr="5C3C5D5B" w:rsidR="0636CFFB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single"/>
          <w:lang w:val="en-CA"/>
        </w:rPr>
        <w:t>additional</w:t>
      </w:r>
      <w:r w:rsidRPr="5C3C5D5B" w:rsidR="0636CFFB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single"/>
          <w:lang w:val="en-CA"/>
        </w:rPr>
        <w:t xml:space="preserve"> </w:t>
      </w:r>
      <w:r w:rsidRPr="5C3C5D5B" w:rsidR="5D32EBB7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single"/>
          <w:lang w:val="en-CA"/>
        </w:rPr>
        <w:t>three</w:t>
      </w:r>
      <w:r w:rsidRPr="5C3C5D5B" w:rsidR="0636CFFB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single"/>
          <w:lang w:val="en-CA"/>
        </w:rPr>
        <w:t>-month period at the discretion of the McDonald Institute</w:t>
      </w:r>
      <w:r w:rsidRPr="5C3C5D5B" w:rsidR="3A5DB8BC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single"/>
          <w:lang w:val="en-CA"/>
        </w:rPr>
        <w:t xml:space="preserve"> and the time limits of its funding mandate</w:t>
      </w:r>
      <w:r w:rsidRPr="5C3C5D5B" w:rsidR="0636CFFB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single"/>
          <w:lang w:val="en-CA"/>
        </w:rPr>
        <w:t xml:space="preserve">. The awardee may </w:t>
      </w:r>
      <w:r w:rsidRPr="5C3C5D5B" w:rsidR="0636CFFB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single"/>
          <w:lang w:val="en-CA"/>
        </w:rPr>
        <w:t>submit</w:t>
      </w:r>
      <w:r w:rsidRPr="5C3C5D5B" w:rsidR="0636CFFB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single"/>
          <w:lang w:val="en-CA"/>
        </w:rPr>
        <w:t xml:space="preserve"> an itemized invoice for incurred expenses every three months until three months beyond the end date of the award, or until </w:t>
      </w:r>
      <w:r w:rsidRPr="5C3C5D5B" w:rsidR="7A561A47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single"/>
          <w:lang w:val="en-CA"/>
        </w:rPr>
        <w:t xml:space="preserve">the </w:t>
      </w:r>
      <w:r w:rsidRPr="5C3C5D5B" w:rsidR="7A561A47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single"/>
          <w:lang w:val="en-CA"/>
        </w:rPr>
        <w:t>maximum</w:t>
      </w:r>
      <w:r w:rsidRPr="5C3C5D5B" w:rsidR="7A561A47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single"/>
          <w:lang w:val="en-CA"/>
        </w:rPr>
        <w:t xml:space="preserve"> award amount</w:t>
      </w:r>
      <w:r w:rsidRPr="5C3C5D5B" w:rsidR="0636CFFB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single"/>
          <w:lang w:val="en-CA"/>
        </w:rPr>
        <w:t xml:space="preserve"> has been reimbursed. </w:t>
      </w:r>
    </w:p>
    <w:p xmlns:wp14="http://schemas.microsoft.com/office/word/2010/wordml" w:rsidP="5C3C5D5B" w14:paraId="340CF046" wp14:textId="3CC2862A">
      <w:pPr>
        <w:spacing w:after="160" w:line="259" w:lineRule="auto"/>
        <w:jc w:val="both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5C3C5D5B" w14:paraId="4E0DF90F" wp14:textId="15C1C47A">
      <w:pPr>
        <w:spacing w:after="160" w:line="259" w:lineRule="auto"/>
        <w:jc w:val="both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5C3C5D5B" w:rsidR="0636CFFB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CA"/>
        </w:rPr>
        <w:t>Eligibility</w:t>
      </w:r>
    </w:p>
    <w:p xmlns:wp14="http://schemas.microsoft.com/office/word/2010/wordml" w:rsidP="5C3C5D5B" w14:paraId="3FA56FBB" wp14:textId="189FAA04">
      <w:pPr>
        <w:spacing w:before="240" w:beforeAutospacing="off" w:after="160" w:afterAutospacing="off" w:line="259" w:lineRule="auto"/>
        <w:ind w:left="0" w:right="0"/>
        <w:jc w:val="both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CA"/>
        </w:rPr>
      </w:pPr>
      <w:r w:rsidRPr="5C3C5D5B" w:rsidR="0636CFFB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CA"/>
        </w:rPr>
        <w:t xml:space="preserve">The lead applicant (proponent) must be a researcher with a focus on </w:t>
      </w:r>
      <w:r w:rsidRPr="5C3C5D5B" w:rsidR="0636CFFB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CA"/>
        </w:rPr>
        <w:t>astroparticle</w:t>
      </w:r>
      <w:r w:rsidRPr="5C3C5D5B" w:rsidR="0636CFFB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CA"/>
        </w:rPr>
        <w:t xml:space="preserve"> physics at a</w:t>
      </w:r>
      <w:r w:rsidRPr="5C3C5D5B" w:rsidR="098D24D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CA"/>
        </w:rPr>
        <w:t xml:space="preserve"> grant-eligible</w:t>
      </w:r>
      <w:r w:rsidRPr="5C3C5D5B" w:rsidR="0636CFFB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CA"/>
        </w:rPr>
        <w:t xml:space="preserve"> Canadian academic institution who is</w:t>
      </w:r>
      <w:r w:rsidRPr="5C3C5D5B" w:rsidR="45EFB858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CA"/>
        </w:rPr>
        <w:t>:</w:t>
      </w:r>
      <w:r w:rsidRPr="5C3C5D5B" w:rsidR="0636CFFB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CA"/>
        </w:rPr>
        <w:t xml:space="preserve"> A) managing an institutional research account eligible to hold funds from Tri-Council granting agencies (or currently in receipt of CFREF funding through the McDonald Institute); or B) </w:t>
      </w:r>
      <w:r w:rsidRPr="5C3C5D5B" w:rsidR="458BC4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CA"/>
        </w:rPr>
        <w:t xml:space="preserve">is </w:t>
      </w:r>
      <w:r w:rsidRPr="5C3C5D5B" w:rsidR="0636CFFB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CA"/>
        </w:rPr>
        <w:t>working under the direct supervision of a researcher meeting criterion A, above</w:t>
      </w:r>
      <w:r w:rsidRPr="5C3C5D5B" w:rsidR="54411A2C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CA"/>
        </w:rPr>
        <w:t>, and who is willing to manage award funds through their eligible research account</w:t>
      </w:r>
      <w:r w:rsidRPr="5C3C5D5B" w:rsidR="0636CFFB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CA"/>
        </w:rPr>
        <w:t>.</w:t>
      </w:r>
    </w:p>
    <w:p xmlns:wp14="http://schemas.microsoft.com/office/word/2010/wordml" w:rsidP="5C3C5D5B" w14:paraId="7C35D479" wp14:textId="6C9DF199">
      <w:pPr>
        <w:spacing w:before="240" w:after="160" w:line="259" w:lineRule="auto"/>
        <w:jc w:val="both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5C3C5D5B" w:rsidR="0636CFFB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Proposals </w:t>
      </w:r>
      <w:r w:rsidRPr="5C3C5D5B" w:rsidR="0636CFFB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single"/>
          <w:lang w:val="en-US"/>
        </w:rPr>
        <w:t>m</w:t>
      </w:r>
      <w:r w:rsidRPr="5C3C5D5B" w:rsidR="23223954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single"/>
          <w:lang w:val="en-US"/>
        </w:rPr>
        <w:t xml:space="preserve">ust </w:t>
      </w:r>
      <w:r w:rsidRPr="5C3C5D5B" w:rsidR="0636CFFB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be in line with the McDonald Institute’s vision and scientific goals (for further information, please see the ‘McDonald Institute Research Strategy Guidelines’). </w:t>
      </w:r>
      <w:r w:rsidRPr="5C3C5D5B" w:rsidR="0636CFFB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It is expected that</w:t>
      </w:r>
      <w:r w:rsidRPr="5C3C5D5B" w:rsidR="03AAC098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awarded</w:t>
      </w:r>
      <w:r w:rsidRPr="5C3C5D5B" w:rsidR="0636CFFB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5C3C5D5B" w:rsidR="1B55FD98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demonstration</w:t>
      </w:r>
      <w:r w:rsidRPr="5C3C5D5B" w:rsidR="56B4388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projects</w:t>
      </w:r>
      <w:r w:rsidRPr="5C3C5D5B" w:rsidR="1B55FD98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5C3C5D5B" w:rsidR="0636CFFB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will be partially funded by other sources such as </w:t>
      </w:r>
      <w:r w:rsidRPr="5C3C5D5B" w:rsidR="2023DD54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discretionary</w:t>
      </w:r>
      <w:r w:rsidRPr="5C3C5D5B" w:rsidR="084346D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research funds, local technology seed </w:t>
      </w:r>
      <w:r w:rsidRPr="5C3C5D5B" w:rsidR="084346D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funds</w:t>
      </w:r>
      <w:r w:rsidRPr="5C3C5D5B" w:rsidR="084346D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and innovation awards, or through research collaboration grants </w:t>
      </w:r>
      <w:r w:rsidRPr="5C3C5D5B" w:rsidR="74275E32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in cases where a required</w:t>
      </w:r>
      <w:r w:rsidRPr="5C3C5D5B" w:rsidR="084346D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third-party is also engaged</w:t>
      </w:r>
      <w:r w:rsidRPr="5C3C5D5B" w:rsidR="6E44F9F0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in the demonstration project</w:t>
      </w:r>
      <w:r w:rsidRPr="5C3C5D5B" w:rsidR="0636CFFB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.  </w:t>
      </w:r>
    </w:p>
    <w:p xmlns:wp14="http://schemas.microsoft.com/office/word/2010/wordml" w:rsidP="5C3C5D5B" w14:paraId="0358EF45" wp14:textId="435FAA75">
      <w:pPr>
        <w:spacing w:before="240" w:after="160" w:afterAutospacing="on" w:line="240" w:lineRule="auto"/>
        <w:jc w:val="both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5C3C5D5B" w:rsidR="0636CFFB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CA"/>
        </w:rPr>
        <w:t>Proposal Submission</w:t>
      </w:r>
    </w:p>
    <w:p xmlns:wp14="http://schemas.microsoft.com/office/word/2010/wordml" w:rsidP="2C6CD5B6" w14:paraId="6C8FEBB9" wp14:textId="5D6DC233">
      <w:pPr>
        <w:spacing w:after="160" w:line="240" w:lineRule="auto"/>
        <w:jc w:val="both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2C6CD5B6" w:rsidR="0636CFFB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CA"/>
        </w:rPr>
        <w:t xml:space="preserve">Complete a separate application form for </w:t>
      </w:r>
      <w:r w:rsidRPr="2C6CD5B6" w:rsidR="0636CFFB">
        <w:rPr>
          <w:rFonts w:ascii="Open Sans" w:hAnsi="Open Sans" w:eastAsia="Open Sans" w:cs="Open Sans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CA"/>
        </w:rPr>
        <w:t>each</w:t>
      </w:r>
      <w:r w:rsidRPr="2C6CD5B6" w:rsidR="0636CFFB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CA"/>
        </w:rPr>
        <w:t xml:space="preserve"> </w:t>
      </w:r>
      <w:r w:rsidRPr="2C6CD5B6" w:rsidR="4D976C8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CA"/>
        </w:rPr>
        <w:t>application</w:t>
      </w:r>
      <w:r w:rsidRPr="2C6CD5B6" w:rsidR="2AA6392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CA"/>
        </w:rPr>
        <w:t>.</w:t>
      </w:r>
      <w:r w:rsidRPr="2C6CD5B6" w:rsidR="675A565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CA"/>
        </w:rPr>
        <w:t xml:space="preserve"> </w:t>
      </w:r>
      <w:r w:rsidRPr="2C6CD5B6" w:rsidR="0636CFFB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Template completion is mandatory</w:t>
      </w:r>
      <w:r w:rsidRPr="2C6CD5B6" w:rsidR="6752EDB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. Length limits apply in several indicated sections</w:t>
      </w:r>
      <w:r w:rsidRPr="2C6CD5B6" w:rsidR="0636CFFB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single"/>
          <w:lang w:val="en-CA"/>
        </w:rPr>
        <w:t>.</w:t>
      </w:r>
      <w:r w:rsidRPr="2C6CD5B6" w:rsidR="4F1DB6E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single"/>
          <w:lang w:val="en-CA"/>
        </w:rPr>
        <w:t xml:space="preserve"> </w:t>
      </w:r>
      <w:r w:rsidRPr="2C6CD5B6" w:rsidR="0636CFFB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Applications that </w:t>
      </w:r>
      <w:r w:rsidRPr="2C6CD5B6" w:rsidR="0636CFFB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fail to</w:t>
      </w:r>
      <w:r w:rsidRPr="2C6CD5B6" w:rsidR="0636CFFB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follow the template will not be considered. </w:t>
      </w:r>
      <w:r w:rsidRPr="2C6CD5B6" w:rsidR="0636CFFB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CA"/>
        </w:rPr>
        <w:t xml:space="preserve">Where applicable, certain information may be copied between applications, though each </w:t>
      </w:r>
      <w:r w:rsidRPr="2C6CD5B6" w:rsidR="121EB5F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CA"/>
        </w:rPr>
        <w:t xml:space="preserve">application </w:t>
      </w:r>
      <w:r w:rsidRPr="2C6CD5B6" w:rsidR="0636CFFB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CA"/>
        </w:rPr>
        <w:t xml:space="preserve">will be considered on its own merits. Completed applications may be sent to </w:t>
      </w:r>
      <w:hyperlink r:id="R8a9eb88991be4486">
        <w:r w:rsidRPr="2C6CD5B6" w:rsidR="0636CFFB">
          <w:rPr>
            <w:rStyle w:val="Hyperlink"/>
            <w:rFonts w:ascii="Open Sans" w:hAnsi="Open Sans" w:eastAsia="Open Sans" w:cs="Open San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auto"/>
            <w:sz w:val="22"/>
            <w:szCs w:val="22"/>
            <w:lang w:val="en-CA"/>
          </w:rPr>
          <w:t>admin@mcdonaldinstitute.ca</w:t>
        </w:r>
      </w:hyperlink>
      <w:r w:rsidRPr="2C6CD5B6" w:rsidR="0636CFFB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CA"/>
        </w:rPr>
        <w:t xml:space="preserve"> with the subject line “</w:t>
      </w:r>
      <w:r w:rsidRPr="2C6CD5B6" w:rsidR="5AF7E857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CA"/>
        </w:rPr>
        <w:t xml:space="preserve">Early </w:t>
      </w:r>
      <w:r w:rsidRPr="2C6CD5B6" w:rsidR="5AF7E857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CA"/>
        </w:rPr>
        <w:t>D</w:t>
      </w:r>
      <w:r w:rsidRPr="2C6CD5B6" w:rsidR="24CE4707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CA"/>
        </w:rPr>
        <w:t>monstration</w:t>
      </w:r>
      <w:r w:rsidRPr="2C6CD5B6" w:rsidR="24CE4707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CA"/>
        </w:rPr>
        <w:t xml:space="preserve"> Fund Application</w:t>
      </w:r>
      <w:r w:rsidRPr="2C6CD5B6" w:rsidR="0636CFFB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CA"/>
        </w:rPr>
        <w:t xml:space="preserve"> </w:t>
      </w:r>
      <w:r w:rsidRPr="2C6CD5B6" w:rsidR="0636CFFB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CA"/>
        </w:rPr>
        <w:t>– {</w:t>
      </w:r>
      <w:r w:rsidRPr="2C6CD5B6" w:rsidR="0636CFFB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single"/>
          <w:lang w:val="en-CA"/>
        </w:rPr>
        <w:t xml:space="preserve">Supervisor </w:t>
      </w:r>
      <w:r w:rsidRPr="2C6CD5B6" w:rsidR="0636CFFB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CA"/>
        </w:rPr>
        <w:t>Last Name}</w:t>
      </w:r>
      <w:r w:rsidRPr="2C6CD5B6" w:rsidR="0636CFFB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CA"/>
        </w:rPr>
        <w:t>”.</w:t>
      </w:r>
    </w:p>
    <w:p xmlns:wp14="http://schemas.microsoft.com/office/word/2010/wordml" w:rsidP="5C3C5D5B" w14:paraId="67696BAC" wp14:textId="2BA754E8">
      <w:pPr>
        <w:spacing w:after="160" w:afterAutospacing="on" w:line="240" w:lineRule="auto"/>
        <w:jc w:val="both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5C3C5D5B" w:rsidR="0636CFFB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CA"/>
        </w:rPr>
        <w:t>Equity, Diversity, and Inclusion</w:t>
      </w:r>
    </w:p>
    <w:p xmlns:wp14="http://schemas.microsoft.com/office/word/2010/wordml" w:rsidP="5C3C5D5B" w14:paraId="2B5CFB45" wp14:textId="3740CD8E">
      <w:pPr>
        <w:spacing w:after="160" w:afterAutospacing="on" w:line="240" w:lineRule="auto"/>
        <w:jc w:val="both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u w:val="none"/>
          <w:lang w:val="en-US"/>
        </w:rPr>
      </w:pPr>
      <w:r w:rsidRPr="5C3C5D5B" w:rsidR="0636CFFB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CA"/>
        </w:rPr>
        <w:t xml:space="preserve">Equity, </w:t>
      </w:r>
      <w:r w:rsidRPr="5C3C5D5B" w:rsidR="0636CFFB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CA"/>
        </w:rPr>
        <w:t>diversity</w:t>
      </w:r>
      <w:r w:rsidRPr="5C3C5D5B" w:rsidR="0636CFFB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CA"/>
        </w:rPr>
        <w:t xml:space="preserve"> and inclusion considerations in</w:t>
      </w:r>
      <w:r w:rsidRPr="5C3C5D5B" w:rsidR="30D27EA2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CA"/>
        </w:rPr>
        <w:t xml:space="preserve"> technology mobilization awards</w:t>
      </w:r>
      <w:r w:rsidRPr="5C3C5D5B" w:rsidR="0636CFFB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CA"/>
        </w:rPr>
        <w:t xml:space="preserve"> </w:t>
      </w:r>
      <w:r w:rsidRPr="5C3C5D5B" w:rsidR="0636CFFB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CA"/>
        </w:rPr>
        <w:t>are</w:t>
      </w:r>
      <w:r w:rsidRPr="5C3C5D5B" w:rsidR="0636CFFB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CA"/>
        </w:rPr>
        <w:t xml:space="preserve"> </w:t>
      </w:r>
      <w:r w:rsidRPr="5C3C5D5B" w:rsidR="0636CFFB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CA"/>
        </w:rPr>
        <w:t>significantly weighted in the application.</w:t>
      </w:r>
      <w:r w:rsidRPr="5C3C5D5B" w:rsidR="0636CFFB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CA"/>
        </w:rPr>
        <w:t xml:space="preserve"> Applicants will be scored on</w:t>
      </w:r>
      <w:r w:rsidRPr="5C3C5D5B" w:rsidR="22D48245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CA"/>
        </w:rPr>
        <w:t xml:space="preserve"> 1)</w:t>
      </w:r>
      <w:r w:rsidRPr="5C3C5D5B" w:rsidR="0636CFFB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CA"/>
        </w:rPr>
        <w:t xml:space="preserve"> the equity, diversity and inclusion considerations</w:t>
      </w:r>
      <w:r w:rsidRPr="5C3C5D5B" w:rsidR="5763E09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CA"/>
        </w:rPr>
        <w:t xml:space="preserve"> guiding </w:t>
      </w:r>
      <w:r w:rsidRPr="5C3C5D5B" w:rsidR="43820FAC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CA"/>
        </w:rPr>
        <w:t>the composition of the technology designers, users and testers engaged in the project</w:t>
      </w:r>
      <w:r w:rsidRPr="5C3C5D5B" w:rsidR="7ECDEFA5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CA"/>
        </w:rPr>
        <w:t xml:space="preserve">, and 2) consideration given to potential </w:t>
      </w:r>
      <w:r w:rsidRPr="5C3C5D5B" w:rsidR="55306CD0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CA"/>
        </w:rPr>
        <w:t>barriers to equitable, diverse and inclusive application of the technology with respect</w:t>
      </w:r>
      <w:r w:rsidRPr="5C3C5D5B" w:rsidR="21DC196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CA"/>
        </w:rPr>
        <w:t xml:space="preserve"> to its anticipated</w:t>
      </w:r>
      <w:r w:rsidRPr="5C3C5D5B" w:rsidR="55306CD0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CA"/>
        </w:rPr>
        <w:t xml:space="preserve"> users, beneficiaries, applica</w:t>
      </w:r>
      <w:r w:rsidRPr="5C3C5D5B" w:rsidR="19B7B644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CA"/>
        </w:rPr>
        <w:t>tion modes and potential second</w:t>
      </w:r>
      <w:r w:rsidRPr="5C3C5D5B" w:rsidR="75E6C53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CA"/>
        </w:rPr>
        <w:t xml:space="preserve">- </w:t>
      </w:r>
      <w:r w:rsidRPr="5C3C5D5B" w:rsidR="19B7B644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CA"/>
        </w:rPr>
        <w:t>and third</w:t>
      </w:r>
      <w:r w:rsidRPr="5C3C5D5B" w:rsidR="3BE602EF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CA"/>
        </w:rPr>
        <w:t>-</w:t>
      </w:r>
      <w:r w:rsidRPr="5C3C5D5B" w:rsidR="19B7B644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CA"/>
        </w:rPr>
        <w:t>order impacts arising from deployment of the technology (good and bad).</w:t>
      </w:r>
      <w:r w:rsidRPr="5C3C5D5B" w:rsidR="4C13A0CF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CA"/>
        </w:rPr>
        <w:t xml:space="preserve"> </w:t>
      </w:r>
      <w:r>
        <w:br/>
      </w:r>
      <w:r w:rsidRPr="5C3C5D5B" w:rsidR="23AE9035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CA"/>
        </w:rPr>
        <w:t xml:space="preserve">    </w:t>
      </w:r>
      <w:r w:rsidRPr="5C3C5D5B" w:rsidR="4C13A0CF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CA"/>
        </w:rPr>
        <w:t>In the first EDI sub-section, d</w:t>
      </w:r>
      <w:r w:rsidRPr="5C3C5D5B" w:rsidR="0636CFFB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CA"/>
        </w:rPr>
        <w:t xml:space="preserve">o not categorize individuals. </w:t>
      </w:r>
      <w:hyperlink r:id="R734f1371e8b04813">
        <w:r w:rsidRPr="5C3C5D5B" w:rsidR="0636CFFB">
          <w:rPr>
            <w:rFonts w:ascii="Open Sans" w:hAnsi="Open Sans" w:eastAsia="Open Sans" w:cs="Open Sans"/>
            <w:b w:val="0"/>
            <w:bCs w:val="0"/>
            <w:i w:val="0"/>
            <w:iCs w:val="0"/>
            <w:caps w:val="0"/>
            <w:smallCaps w:val="0"/>
            <w:noProof w:val="0"/>
            <w:color w:val="auto"/>
            <w:sz w:val="22"/>
            <w:szCs w:val="22"/>
            <w:lang w:val="en-CA"/>
          </w:rPr>
          <w:t>Categorization</w:t>
        </w:r>
      </w:hyperlink>
      <w:r w:rsidRPr="5C3C5D5B" w:rsidR="0636CFFB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CA"/>
        </w:rPr>
        <w:t xml:space="preserve"> is defined as grouping individuals based on their demographic features (</w:t>
      </w:r>
      <w:r w:rsidRPr="5C3C5D5B" w:rsidR="0636CFFB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CA"/>
        </w:rPr>
        <w:t>e.g.</w:t>
      </w:r>
      <w:r w:rsidRPr="5C3C5D5B" w:rsidR="0636CFFB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CA"/>
        </w:rPr>
        <w:t xml:space="preserve"> sex, age, ethnicity, or religion), personality and interests (</w:t>
      </w:r>
      <w:r w:rsidRPr="5C3C5D5B" w:rsidR="0636CFFB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CA"/>
        </w:rPr>
        <w:t>e.g.</w:t>
      </w:r>
      <w:r w:rsidRPr="5C3C5D5B" w:rsidR="0636CFFB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CA"/>
        </w:rPr>
        <w:t xml:space="preserve"> introverts), health status, etc. It is not </w:t>
      </w:r>
      <w:r w:rsidRPr="5C3C5D5B" w:rsidR="0636CFFB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CA"/>
        </w:rPr>
        <w:t>appropriate to</w:t>
      </w:r>
      <w:r w:rsidRPr="5C3C5D5B" w:rsidR="0636CFFB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CA"/>
        </w:rPr>
        <w:t xml:space="preserve"> share the medical status of an individual in this application, nor is it </w:t>
      </w:r>
      <w:r w:rsidRPr="5C3C5D5B" w:rsidR="0636CFFB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CA"/>
        </w:rPr>
        <w:t>appropriate to</w:t>
      </w:r>
      <w:r w:rsidRPr="5C3C5D5B" w:rsidR="0636CFFB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CA"/>
        </w:rPr>
        <w:t xml:space="preserve"> share the sexual orientation, sex, ethnicity, race, religion etc. Your observations are not necessarily reflective of how an individual self-</w:t>
      </w:r>
      <w:r w:rsidRPr="5C3C5D5B" w:rsidR="0636CFFB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CA"/>
        </w:rPr>
        <w:t>identifies</w:t>
      </w:r>
      <w:r w:rsidRPr="5C3C5D5B" w:rsidR="0636CFFB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CA"/>
        </w:rPr>
        <w:t xml:space="preserve"> and sharing this information could be hurtful. However, you may share information about the individual’s activities, for example, “My senior </w:t>
      </w:r>
      <w:r w:rsidRPr="5C3C5D5B" w:rsidR="0636CFFB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CA"/>
        </w:rPr>
        <w:t>Master’s</w:t>
      </w:r>
      <w:r w:rsidRPr="5C3C5D5B" w:rsidR="0636CFFB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CA"/>
        </w:rPr>
        <w:t xml:space="preserve"> student </w:t>
      </w:r>
      <w:r w:rsidRPr="5C3C5D5B" w:rsidR="0A2C385C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CA"/>
        </w:rPr>
        <w:t>uses a</w:t>
      </w:r>
      <w:r w:rsidRPr="5C3C5D5B" w:rsidR="4C5AC3E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CA"/>
        </w:rPr>
        <w:t>n electric</w:t>
      </w:r>
      <w:r w:rsidRPr="5C3C5D5B" w:rsidR="0A2C385C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CA"/>
        </w:rPr>
        <w:t xml:space="preserve"> </w:t>
      </w:r>
      <w:r w:rsidRPr="5C3C5D5B" w:rsidR="0A2C385C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CA"/>
        </w:rPr>
        <w:t xml:space="preserve">wheelchair in the course of his workday and he observes that the </w:t>
      </w:r>
      <w:r w:rsidRPr="5C3C5D5B" w:rsidR="69D5F848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CA"/>
        </w:rPr>
        <w:t>machine learning process he’s using to categorize background data, could also be used to characterize modes of battery degradation in his device</w:t>
      </w:r>
      <w:r w:rsidRPr="5C3C5D5B" w:rsidR="0636CFFB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CA"/>
        </w:rPr>
        <w:t xml:space="preserve">.” </w:t>
      </w:r>
    </w:p>
    <w:p w:rsidR="358A2F88" w:rsidP="5C3C5D5B" w:rsidRDefault="358A2F88" w14:paraId="0C60B82F" w14:textId="3B5E4A2D">
      <w:pPr>
        <w:pStyle w:val="Normal"/>
        <w:spacing w:afterAutospacing="on" w:line="240" w:lineRule="auto"/>
        <w:jc w:val="both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CA"/>
        </w:rPr>
      </w:pPr>
      <w:r w:rsidRPr="5C3C5D5B" w:rsidR="358A2F88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CA"/>
        </w:rPr>
        <w:t xml:space="preserve">    In the second EDI sub-section, describe how implementation of the demonstrator technology may or may not equitably </w:t>
      </w:r>
      <w:r w:rsidRPr="5C3C5D5B" w:rsidR="779BC6F0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CA"/>
        </w:rPr>
        <w:t xml:space="preserve">serve end-users and </w:t>
      </w:r>
      <w:r w:rsidRPr="5C3C5D5B" w:rsidR="779BC6F0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CA"/>
        </w:rPr>
        <w:t>indicate</w:t>
      </w:r>
      <w:r w:rsidRPr="5C3C5D5B" w:rsidR="779BC6F0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CA"/>
        </w:rPr>
        <w:t xml:space="preserve"> potential solutions</w:t>
      </w:r>
      <w:r w:rsidRPr="5C3C5D5B" w:rsidR="33147D7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CA"/>
        </w:rPr>
        <w:t xml:space="preserve"> that might either mitigate </w:t>
      </w:r>
      <w:r w:rsidRPr="5C3C5D5B" w:rsidR="33147D7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CA"/>
        </w:rPr>
        <w:t>anticipated</w:t>
      </w:r>
      <w:r w:rsidRPr="5C3C5D5B" w:rsidR="33147D7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CA"/>
        </w:rPr>
        <w:t xml:space="preserve"> inequitable benefit, or broaden the </w:t>
      </w:r>
      <w:r w:rsidRPr="5C3C5D5B" w:rsidR="00B892F2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CA"/>
        </w:rPr>
        <w:t>potential end-user benefit</w:t>
      </w:r>
      <w:r w:rsidRPr="5C3C5D5B" w:rsidR="779BC6F0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CA"/>
        </w:rPr>
        <w:t xml:space="preserve"> </w:t>
      </w:r>
      <w:r w:rsidRPr="5C3C5D5B" w:rsidR="779BC6F0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CA"/>
        </w:rPr>
        <w:t xml:space="preserve">(partnerships with third-parties, end-user communities, or technology interventions) </w:t>
      </w:r>
    </w:p>
    <w:p w:rsidR="5C3C5D5B" w:rsidP="5C3C5D5B" w:rsidRDefault="5C3C5D5B" w14:paraId="63EEDAC7" w14:textId="6FFE76A8">
      <w:pPr>
        <w:pStyle w:val="Normal"/>
        <w:spacing w:afterAutospacing="on" w:line="240" w:lineRule="auto"/>
        <w:jc w:val="both"/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lang w:val="en-CA"/>
        </w:rPr>
      </w:pPr>
    </w:p>
    <w:p xmlns:wp14="http://schemas.microsoft.com/office/word/2010/wordml" w:rsidP="5C3C5D5B" w14:paraId="1D267963" wp14:textId="0B9ED010">
      <w:pPr>
        <w:pStyle w:val="Normal"/>
        <w:spacing w:after="160" w:afterAutospacing="on" w:line="240" w:lineRule="auto"/>
        <w:jc w:val="both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5C3C5D5B" w:rsidR="4CFB3AB1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lang w:val="en-CA"/>
        </w:rPr>
        <w:t>Administrative Award Process</w:t>
      </w:r>
      <w:r>
        <w:br/>
      </w:r>
      <w:r w:rsidRPr="5C3C5D5B" w:rsidR="1D5251A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CA"/>
        </w:rPr>
        <w:t>The Demonstration Fund is a management-administered award</w:t>
      </w:r>
      <w:r w:rsidRPr="5C3C5D5B" w:rsidR="353B77E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CA"/>
        </w:rPr>
        <w:t>, whose terms of reference are regularly reviewed by the</w:t>
      </w:r>
      <w:r w:rsidRPr="5C3C5D5B" w:rsidR="730E2A96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CA"/>
        </w:rPr>
        <w:t xml:space="preserve"> </w:t>
      </w:r>
      <w:r w:rsidRPr="5C3C5D5B" w:rsidR="435A3C8E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CA"/>
        </w:rPr>
        <w:t xml:space="preserve">McDonald Institute’s </w:t>
      </w:r>
      <w:r w:rsidRPr="5C3C5D5B" w:rsidR="2329C4B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CA"/>
        </w:rPr>
        <w:t>Business Partnerships and Programs</w:t>
      </w:r>
      <w:r w:rsidRPr="5C3C5D5B" w:rsidR="0636CFFB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CA"/>
        </w:rPr>
        <w:t xml:space="preserve"> Committee</w:t>
      </w:r>
      <w:r w:rsidRPr="5C3C5D5B" w:rsidR="7CA0EF9F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CA"/>
        </w:rPr>
        <w:t xml:space="preserve"> (BPPC)</w:t>
      </w:r>
      <w:r w:rsidRPr="5C3C5D5B" w:rsidR="0636CFFB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CA"/>
        </w:rPr>
        <w:t xml:space="preserve">. </w:t>
      </w:r>
      <w:r w:rsidRPr="5C3C5D5B" w:rsidR="13E8FC8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CA"/>
        </w:rPr>
        <w:t>Award decisions are based on</w:t>
      </w:r>
      <w:r w:rsidRPr="5C3C5D5B" w:rsidR="0F160A6C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CA"/>
        </w:rPr>
        <w:t xml:space="preserve"> 1) availability of funding in the fiscal year in which the award is funded, 2) highest application scores </w:t>
      </w:r>
      <w:r w:rsidRPr="5C3C5D5B" w:rsidR="0F160A6C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CA"/>
        </w:rPr>
        <w:t xml:space="preserve">in the event </w:t>
      </w:r>
      <w:r w:rsidRPr="5C3C5D5B" w:rsidR="61638AC5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CA"/>
        </w:rPr>
        <w:t>that</w:t>
      </w:r>
      <w:r w:rsidRPr="5C3C5D5B" w:rsidR="61638AC5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CA"/>
        </w:rPr>
        <w:t xml:space="preserve"> received</w:t>
      </w:r>
      <w:r w:rsidRPr="5C3C5D5B" w:rsidR="3DFC0A6E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CA"/>
        </w:rPr>
        <w:t xml:space="preserve"> application requests exceed available funding, 3) minimum application scoring in all cases. All evaluations are conducted against a scoring matrix</w:t>
      </w:r>
      <w:r w:rsidRPr="5C3C5D5B" w:rsidR="6EB72600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CA"/>
        </w:rPr>
        <w:t xml:space="preserve"> recommended by the BPPC</w:t>
      </w:r>
      <w:r w:rsidRPr="5C3C5D5B" w:rsidR="1A141548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CA"/>
        </w:rPr>
        <w:t>.</w:t>
      </w:r>
      <w:r w:rsidRPr="5C3C5D5B" w:rsidR="3DFC0A6E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CA"/>
        </w:rPr>
        <w:t xml:space="preserve"> </w:t>
      </w:r>
      <w:r w:rsidRPr="5C3C5D5B" w:rsidR="0636CFFB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CA"/>
        </w:rPr>
        <w:t xml:space="preserve"> </w:t>
      </w:r>
      <w:r w:rsidRPr="5C3C5D5B" w:rsidR="0636CFFB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single"/>
          <w:lang w:val="en-CA"/>
        </w:rPr>
        <w:t>The full matrix is available with the application form.</w:t>
      </w:r>
    </w:p>
    <w:p xmlns:wp14="http://schemas.microsoft.com/office/word/2010/wordml" w:rsidP="5C3C5D5B" w14:paraId="51199A52" wp14:textId="79498EE0">
      <w:pPr>
        <w:spacing w:after="160" w:line="259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</w:p>
    <w:p xmlns:wp14="http://schemas.microsoft.com/office/word/2010/wordml" w:rsidP="5C3C5D5B" w14:paraId="2C078E63" wp14:textId="62847499">
      <w:pPr>
        <w:pStyle w:val="Normal"/>
        <w:rPr>
          <w:rFonts w:ascii="Open Sans" w:hAnsi="Open Sans" w:eastAsia="Open Sans" w:cs="Open Sans"/>
          <w:color w:val="auto"/>
          <w:sz w:val="22"/>
          <w:szCs w:val="22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14="http://schemas.microsoft.com/office/word/2010/wordml" xmlns:w="http://schemas.openxmlformats.org/wordprocessingml/2006/main">
  <w:footnote w:type="separator" w:id="-1">
    <w:p w:rsidR="7CB87550" w:rsidRDefault="7CB87550" w14:paraId="091A5AB5" w14:textId="2598D145">
      <w:pPr>
        <w:spacing w:after="0" w:line="240" w:lineRule="auto"/>
      </w:pPr>
      <w:r>
        <w:separator/>
      </w:r>
    </w:p>
  </w:footnote>
  <w:footnote w:type="continuationSeparator" w:id="0">
    <w:p w:rsidR="7CB87550" w:rsidRDefault="7CB87550" w14:paraId="2EF81753" w14:textId="00CE2C87">
      <w:pPr>
        <w:spacing w:after="0" w:line="240" w:lineRule="auto"/>
      </w:pPr>
      <w:r>
        <w:continuationSeparator/>
      </w:r>
    </w:p>
  </w:footnote>
  <w:footnote w:id="11580">
    <w:p w:rsidR="7CB87550" w:rsidP="7CB87550" w:rsidRDefault="7CB87550" w14:paraId="0366590C" w14:textId="439691F7">
      <w:pPr>
        <w:pStyle w:val="FootnoteText"/>
        <w:bidi w:val="0"/>
      </w:pPr>
      <w:r w:rsidRPr="7CB87550">
        <w:rPr>
          <w:rStyle w:val="FootnoteReference"/>
        </w:rPr>
        <w:footnoteRef/>
      </w:r>
      <w:r w:rsidR="7CB87550">
        <w:rPr/>
        <w:t xml:space="preserve"> “Practical” problems in this document are defined as problems removed from the immediate challenges of conducting core research in </w:t>
      </w:r>
      <w:proofErr w:type="spellStart"/>
      <w:r w:rsidR="7CB87550">
        <w:rPr/>
        <w:t>astroparticle</w:t>
      </w:r>
      <w:proofErr w:type="spellEnd"/>
      <w:r w:rsidR="7CB87550">
        <w:rPr/>
        <w:t xml:space="preserve"> physics.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footnote w:id="-1"/>
    <w:footnote w:id="0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E131CA3"/>
    <w:rsid w:val="00B892F2"/>
    <w:rsid w:val="016EDEA7"/>
    <w:rsid w:val="016EDEA7"/>
    <w:rsid w:val="021B61E4"/>
    <w:rsid w:val="03AAC098"/>
    <w:rsid w:val="0636CFFB"/>
    <w:rsid w:val="06594B47"/>
    <w:rsid w:val="06F644FC"/>
    <w:rsid w:val="080203A9"/>
    <w:rsid w:val="084346D9"/>
    <w:rsid w:val="0892155D"/>
    <w:rsid w:val="0985D850"/>
    <w:rsid w:val="0987991A"/>
    <w:rsid w:val="098D24DA"/>
    <w:rsid w:val="0A2C385C"/>
    <w:rsid w:val="0BD7ABC7"/>
    <w:rsid w:val="0C0369EA"/>
    <w:rsid w:val="0C0369EA"/>
    <w:rsid w:val="0D8BA428"/>
    <w:rsid w:val="0DAB6D9C"/>
    <w:rsid w:val="0F160A6C"/>
    <w:rsid w:val="0FE0B7D7"/>
    <w:rsid w:val="0FF6DA9E"/>
    <w:rsid w:val="109591C1"/>
    <w:rsid w:val="117982A2"/>
    <w:rsid w:val="11A8BCF5"/>
    <w:rsid w:val="121EB5FD"/>
    <w:rsid w:val="13E8FC8A"/>
    <w:rsid w:val="141268E5"/>
    <w:rsid w:val="150FABFA"/>
    <w:rsid w:val="15A4E657"/>
    <w:rsid w:val="15AE3946"/>
    <w:rsid w:val="167FF4A5"/>
    <w:rsid w:val="168A30F9"/>
    <w:rsid w:val="16FB2F22"/>
    <w:rsid w:val="19B7B644"/>
    <w:rsid w:val="1A141548"/>
    <w:rsid w:val="1A8BBB2F"/>
    <w:rsid w:val="1AC588F6"/>
    <w:rsid w:val="1B55FD98"/>
    <w:rsid w:val="1B974D1E"/>
    <w:rsid w:val="1B9834B9"/>
    <w:rsid w:val="1D482A49"/>
    <w:rsid w:val="1D5251AD"/>
    <w:rsid w:val="1D6D8579"/>
    <w:rsid w:val="1E2CA563"/>
    <w:rsid w:val="1E5FF330"/>
    <w:rsid w:val="2023DD54"/>
    <w:rsid w:val="20448EC5"/>
    <w:rsid w:val="21DC1961"/>
    <w:rsid w:val="229E29F6"/>
    <w:rsid w:val="229E7D89"/>
    <w:rsid w:val="22D48245"/>
    <w:rsid w:val="23223954"/>
    <w:rsid w:val="2329C4B3"/>
    <w:rsid w:val="23701F80"/>
    <w:rsid w:val="23AE9035"/>
    <w:rsid w:val="23E13A0E"/>
    <w:rsid w:val="24CE4707"/>
    <w:rsid w:val="257E0388"/>
    <w:rsid w:val="27681AF7"/>
    <w:rsid w:val="27719B19"/>
    <w:rsid w:val="27867D59"/>
    <w:rsid w:val="2834B249"/>
    <w:rsid w:val="28A44AD1"/>
    <w:rsid w:val="28C38553"/>
    <w:rsid w:val="28D19A80"/>
    <w:rsid w:val="28D19A80"/>
    <w:rsid w:val="29214C95"/>
    <w:rsid w:val="297882F8"/>
    <w:rsid w:val="2AA6392A"/>
    <w:rsid w:val="2AEAAC48"/>
    <w:rsid w:val="2C1CFF66"/>
    <w:rsid w:val="2C3B8C1A"/>
    <w:rsid w:val="2C6CD5B6"/>
    <w:rsid w:val="2C951485"/>
    <w:rsid w:val="2CE835D3"/>
    <w:rsid w:val="2D3C5583"/>
    <w:rsid w:val="3022510E"/>
    <w:rsid w:val="30D27EA2"/>
    <w:rsid w:val="31269BA0"/>
    <w:rsid w:val="31917091"/>
    <w:rsid w:val="31E4CB94"/>
    <w:rsid w:val="3212CC17"/>
    <w:rsid w:val="327EA402"/>
    <w:rsid w:val="32AACD9E"/>
    <w:rsid w:val="33147D7D"/>
    <w:rsid w:val="33449E8A"/>
    <w:rsid w:val="353B77EA"/>
    <w:rsid w:val="358A2F88"/>
    <w:rsid w:val="35B13448"/>
    <w:rsid w:val="361DAB61"/>
    <w:rsid w:val="387B81D6"/>
    <w:rsid w:val="389A5ED8"/>
    <w:rsid w:val="3A5DB8BC"/>
    <w:rsid w:val="3A936437"/>
    <w:rsid w:val="3AB6F637"/>
    <w:rsid w:val="3BBCEB3E"/>
    <w:rsid w:val="3BE602EF"/>
    <w:rsid w:val="3C477791"/>
    <w:rsid w:val="3C7E2CF6"/>
    <w:rsid w:val="3D35CA9C"/>
    <w:rsid w:val="3D572D86"/>
    <w:rsid w:val="3DC156A9"/>
    <w:rsid w:val="3DFC0A6E"/>
    <w:rsid w:val="3E0A1178"/>
    <w:rsid w:val="3E13D02D"/>
    <w:rsid w:val="3ED19AFD"/>
    <w:rsid w:val="3FE57F22"/>
    <w:rsid w:val="404A4E0D"/>
    <w:rsid w:val="40AF28BA"/>
    <w:rsid w:val="42093BBF"/>
    <w:rsid w:val="435A3C8E"/>
    <w:rsid w:val="43767CB2"/>
    <w:rsid w:val="43820FAC"/>
    <w:rsid w:val="4587D3BD"/>
    <w:rsid w:val="458BC429"/>
    <w:rsid w:val="45EFB858"/>
    <w:rsid w:val="4605B9B5"/>
    <w:rsid w:val="4771E73F"/>
    <w:rsid w:val="478DAABC"/>
    <w:rsid w:val="47B77665"/>
    <w:rsid w:val="4851850A"/>
    <w:rsid w:val="486EFD21"/>
    <w:rsid w:val="49C83C04"/>
    <w:rsid w:val="4BE786C3"/>
    <w:rsid w:val="4C13A0CF"/>
    <w:rsid w:val="4C2A6F3B"/>
    <w:rsid w:val="4C439798"/>
    <w:rsid w:val="4C5AC3EA"/>
    <w:rsid w:val="4CFB3AB1"/>
    <w:rsid w:val="4D976C89"/>
    <w:rsid w:val="4E10D3F3"/>
    <w:rsid w:val="4E8BF43D"/>
    <w:rsid w:val="4F1DB6EA"/>
    <w:rsid w:val="508E7EFF"/>
    <w:rsid w:val="511708BB"/>
    <w:rsid w:val="515E29BE"/>
    <w:rsid w:val="51C906B2"/>
    <w:rsid w:val="51F3641B"/>
    <w:rsid w:val="53CD5AB1"/>
    <w:rsid w:val="53F72F5A"/>
    <w:rsid w:val="54411A2C"/>
    <w:rsid w:val="552B04DD"/>
    <w:rsid w:val="55306CD0"/>
    <w:rsid w:val="553457CC"/>
    <w:rsid w:val="559AD2DE"/>
    <w:rsid w:val="55D15181"/>
    <w:rsid w:val="56B4388A"/>
    <w:rsid w:val="56C6D53E"/>
    <w:rsid w:val="575023AD"/>
    <w:rsid w:val="5763E091"/>
    <w:rsid w:val="57BF9B66"/>
    <w:rsid w:val="58AB70D3"/>
    <w:rsid w:val="5AF7BC46"/>
    <w:rsid w:val="5AF7E857"/>
    <w:rsid w:val="5C3C5D5B"/>
    <w:rsid w:val="5D32EBB7"/>
    <w:rsid w:val="5DE450EC"/>
    <w:rsid w:val="5ED1E723"/>
    <w:rsid w:val="615F3331"/>
    <w:rsid w:val="61638AC5"/>
    <w:rsid w:val="616DD47C"/>
    <w:rsid w:val="62919F41"/>
    <w:rsid w:val="62D70D1D"/>
    <w:rsid w:val="63801537"/>
    <w:rsid w:val="65B368CD"/>
    <w:rsid w:val="65FF367C"/>
    <w:rsid w:val="67340655"/>
    <w:rsid w:val="67340655"/>
    <w:rsid w:val="6752EDBA"/>
    <w:rsid w:val="67592004"/>
    <w:rsid w:val="675A5659"/>
    <w:rsid w:val="67C2FFD3"/>
    <w:rsid w:val="67C2FFD3"/>
    <w:rsid w:val="685DE042"/>
    <w:rsid w:val="69D5F848"/>
    <w:rsid w:val="6A066E5B"/>
    <w:rsid w:val="6B085CBD"/>
    <w:rsid w:val="6D315165"/>
    <w:rsid w:val="6D83CAE9"/>
    <w:rsid w:val="6E131CA3"/>
    <w:rsid w:val="6E44F9F0"/>
    <w:rsid w:val="6EB72600"/>
    <w:rsid w:val="6FDD661A"/>
    <w:rsid w:val="71096121"/>
    <w:rsid w:val="71096121"/>
    <w:rsid w:val="72FAB809"/>
    <w:rsid w:val="730E2A96"/>
    <w:rsid w:val="738B2C5A"/>
    <w:rsid w:val="74275E32"/>
    <w:rsid w:val="74392901"/>
    <w:rsid w:val="752161BA"/>
    <w:rsid w:val="75BDC28D"/>
    <w:rsid w:val="75E6C539"/>
    <w:rsid w:val="779BC6F0"/>
    <w:rsid w:val="77BFA3BF"/>
    <w:rsid w:val="7896DAB9"/>
    <w:rsid w:val="7A1982BD"/>
    <w:rsid w:val="7A561A47"/>
    <w:rsid w:val="7B7D0369"/>
    <w:rsid w:val="7C2AF697"/>
    <w:rsid w:val="7C9C7630"/>
    <w:rsid w:val="7CA0EF9F"/>
    <w:rsid w:val="7CB87550"/>
    <w:rsid w:val="7E629824"/>
    <w:rsid w:val="7ECDEFA5"/>
    <w:rsid w:val="7EEB3316"/>
    <w:rsid w:val="7F263897"/>
    <w:rsid w:val="7F479586"/>
    <w:rsid w:val="7FEA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31CA3"/>
  <w15:chartTrackingRefBased/>
  <w15:docId w15:val="{30BA20E0-CE06-4262-AF2D-5CA5618774B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FootnoteReference" mc:Ignorable="w14">
    <w:basedOn xmlns:w="http://schemas.openxmlformats.org/wordprocessingml/2006/main" w:val="DefaultParagraphFont"/>
    <w:name xmlns:w="http://schemas.openxmlformats.org/wordprocessingml/2006/main" w:val="footnote reference"/>
    <w:rPr xmlns:w="http://schemas.openxmlformats.org/wordprocessingml/2006/main">
      <w:vertAlign w:val="superscript"/>
    </w:rPr>
    <w:semiHidden xmlns:w="http://schemas.openxmlformats.org/wordprocessingml/2006/main"/>
    <w:uiPriority xmlns:w="http://schemas.openxmlformats.org/wordprocessingml/2006/main" w:val="99"/>
    <w:unhideWhenUsed xmlns:w="http://schemas.openxmlformats.org/wordprocessingml/2006/main"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character" w:styleId="FootnoteTextChar" w:customStyle="1" mc:Ignorable="w14">
    <w:name xmlns:w="http://schemas.openxmlformats.org/wordprocessingml/2006/main" w:val="Footnote Text Char"/>
    <w:basedOn xmlns:w="http://schemas.openxmlformats.org/wordprocessingml/2006/main" w:val="DefaultParagraphFont"/>
    <w:link xmlns:w="http://schemas.openxmlformats.org/wordprocessingml/2006/main" w:val="FootnoteText"/>
    <w:rPr xmlns:w="http://schemas.openxmlformats.org/wordprocessingml/2006/main">
      <w:sz w:val="20"/>
      <w:szCs w:val="20"/>
    </w:rPr>
    <w:semiHidden xmlns:w="http://schemas.openxmlformats.org/wordprocessingml/2006/main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noteText" mc:Ignorable="w14">
    <w:basedOn xmlns:w="http://schemas.openxmlformats.org/wordprocessingml/2006/main" w:val="Normal"/>
    <w:link xmlns:w="http://schemas.openxmlformats.org/wordprocessingml/2006/main" w:val="FootnoteTextChar"/>
    <w:name xmlns:w="http://schemas.openxmlformats.org/wordprocessingml/2006/main" w:val="footnote text"/>
    <w:pPr xmlns:w="http://schemas.openxmlformats.org/wordprocessingml/2006/main">
      <w:spacing xmlns:w="http://schemas.openxmlformats.org/wordprocessingml/2006/main" w:after="0" w:line="240" w:lineRule="auto"/>
    </w:pPr>
    <w:rPr xmlns:w="http://schemas.openxmlformats.org/wordprocessingml/2006/main">
      <w:sz w:val="20"/>
      <w:szCs w:val="20"/>
    </w:rPr>
    <w:semiHidden xmlns:w="http://schemas.openxmlformats.org/wordprocessingml/2006/main"/>
    <w:uiPriority xmlns:w="http://schemas.openxmlformats.org/wordprocessingml/2006/main" w:val="99"/>
    <w:unhideWhenUsed xmlns:w="http://schemas.openxmlformats.org/wordprocessingml/2006/main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footnotes" Target="footnotes.xml" Id="R7db3161c08c04ea7" /><Relationship Type="http://schemas.openxmlformats.org/officeDocument/2006/relationships/hyperlink" Target="http://psychology.iresearchnet.com/social-psychology/social-cognition/social-categorization/%22%20/l%20%22:~:text=Social%20Categorization%20Definition&amp;text=A%20person%20mentally%20groups%20people,common%20types%20of%20social%20categories." TargetMode="External" Id="R734f1371e8b04813" /><Relationship Type="http://schemas.openxmlformats.org/officeDocument/2006/relationships/hyperlink" Target="mailto:admin@mcdonaldinstitute.ca?subject=HQP%20Pooled%20Resources%20Round%207%20-%20%7bSupervisor%20Last%20name%7d%22%20HYPERLINK%20%22mailto:admin@mcdonaldinstitute.ca?subject=HQP%20Pooled%20Resources%20Round%206%20-%20%7bFaculty%20last%20name%7d" TargetMode="External" Id="R8a9eb88991be4486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8E63979EFF5646BD0C31259758F0DF" ma:contentTypeVersion="12" ma:contentTypeDescription="Create a new document." ma:contentTypeScope="" ma:versionID="c43708637a350eead5a406a437205382">
  <xsd:schema xmlns:xsd="http://www.w3.org/2001/XMLSchema" xmlns:xs="http://www.w3.org/2001/XMLSchema" xmlns:p="http://schemas.microsoft.com/office/2006/metadata/properties" xmlns:ns2="5afae969-4493-45b3-ba4e-98a5f1a2f2e0" targetNamespace="http://schemas.microsoft.com/office/2006/metadata/properties" ma:root="true" ma:fieldsID="73815bf4c02eeed36ba9aed09b255190" ns2:_="">
    <xsd:import namespace="5afae969-4493-45b3-ba4e-98a5f1a2f2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ae969-4493-45b3-ba4e-98a5f1a2f2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bd2e69d-a885-47d9-a849-8bc90acf94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fae969-4493-45b3-ba4e-98a5f1a2f2e0">
      <Terms xmlns="http://schemas.microsoft.com/office/infopath/2007/PartnerControls"/>
    </lcf76f155ced4ddcb4097134ff3c332f>
    <MediaLengthInSeconds xmlns="5afae969-4493-45b3-ba4e-98a5f1a2f2e0" xsi:nil="true"/>
  </documentManagement>
</p:properties>
</file>

<file path=customXml/itemProps1.xml><?xml version="1.0" encoding="utf-8"?>
<ds:datastoreItem xmlns:ds="http://schemas.openxmlformats.org/officeDocument/2006/customXml" ds:itemID="{8D67D08C-87EA-404C-B297-F0EAEE444450}"/>
</file>

<file path=customXml/itemProps2.xml><?xml version="1.0" encoding="utf-8"?>
<ds:datastoreItem xmlns:ds="http://schemas.openxmlformats.org/officeDocument/2006/customXml" ds:itemID="{586039A2-8DA9-4AFD-BDBF-0BACAA1F184F}"/>
</file>

<file path=customXml/itemProps3.xml><?xml version="1.0" encoding="utf-8"?>
<ds:datastoreItem xmlns:ds="http://schemas.openxmlformats.org/officeDocument/2006/customXml" ds:itemID="{C0CEBE8F-F50D-4342-B2D9-73C693BC101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Thomas</dc:creator>
  <cp:keywords/>
  <dc:description/>
  <cp:lastModifiedBy>Edward Thomas</cp:lastModifiedBy>
  <dcterms:created xsi:type="dcterms:W3CDTF">2022-09-22T18:35:51Z</dcterms:created>
  <dcterms:modified xsi:type="dcterms:W3CDTF">2026-05-07T21:53:50Z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0x010100B28E63979EFF5646BD0C31259758F0DF</vt:lpwstr>
  </property>
  <property fmtid="{D5CDD505-2E9C-101B-9397-08002B2CF9AE}" pid="3" name="Order">
    <vt:r8>13940000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  <property fmtid="{D5CDD505-2E9C-101B-9397-08002B2CF9AE}" pid="10" name="xd_ProgID">
    <vt:lpwstr/>
  </property>
  <property fmtid="{D5CDD505-2E9C-101B-9397-08002B2CF9AE}" pid="11" name="TemplateUrl">
    <vt:lpwstr/>
  </property>
  <property fmtid="{D5CDD505-2E9C-101B-9397-08002B2CF9AE}" pid="12" name="xd_Signature">
    <vt:bool>false</vt:bool>
  </property>
  <property fmtid="{D5CDD505-2E9C-101B-9397-08002B2CF9AE}" pid="13" name="Link">
    <vt:lpwstr>, </vt:lpwstr>
  </property>
</Properties>
</file>